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CD0DA" w14:textId="77777777" w:rsidR="0059439F" w:rsidRPr="00BD4630" w:rsidRDefault="0059439F" w:rsidP="0059439F">
      <w:pPr>
        <w:pStyle w:val="Title"/>
        <w:rPr>
          <w:color w:val="000000" w:themeColor="text1"/>
        </w:rPr>
      </w:pPr>
      <w:bookmarkStart w:id="0" w:name="_Toc221869115"/>
      <w:r w:rsidRPr="00BD4630">
        <w:rPr>
          <w:color w:val="000000" w:themeColor="text1"/>
        </w:rPr>
        <w:t>Abstract</w:t>
      </w:r>
      <w:bookmarkEnd w:id="0"/>
    </w:p>
    <w:p w14:paraId="76B511CF" w14:textId="77777777" w:rsidR="0059439F" w:rsidRPr="00BD4630" w:rsidRDefault="0059439F" w:rsidP="0059439F">
      <w:pPr>
        <w:rPr>
          <w:color w:val="000000" w:themeColor="text1"/>
        </w:rPr>
      </w:pPr>
    </w:p>
    <w:p w14:paraId="1B793181" w14:textId="77777777" w:rsidR="0059439F" w:rsidRPr="00BD4630" w:rsidRDefault="0059439F" w:rsidP="0059439F">
      <w:pPr>
        <w:spacing w:after="160" w:line="480" w:lineRule="auto"/>
        <w:jc w:val="both"/>
        <w:rPr>
          <w:rFonts w:eastAsiaTheme="minorHAnsi" w:cstheme="minorBidi"/>
          <w:color w:val="000000" w:themeColor="text1"/>
          <w:szCs w:val="22"/>
        </w:rPr>
      </w:pPr>
      <w:r w:rsidRPr="00BD4630">
        <w:rPr>
          <w:rFonts w:eastAsiaTheme="minorHAnsi" w:cstheme="minorBidi"/>
          <w:color w:val="000000" w:themeColor="text1"/>
          <w:szCs w:val="22"/>
        </w:rPr>
        <w:t xml:space="preserve">The building sector accounts for a substantial share of global energy demand and greenhouse gas emissions, with space conditioning dominating operational loads. In Iran—a nation spanning five Köppen-Geiger climate zones—designing energy-efficient envelopes that simultaneously ensure occupant comfort remains a formidable challenge. This thesis introduces a reproducible, simulation-based </w:t>
      </w:r>
      <w:r w:rsidRPr="00BD4630">
        <w:rPr>
          <w:rFonts w:eastAsiaTheme="minorHAnsi" w:cstheme="minorBidi"/>
          <w:b/>
          <w:bCs/>
          <w:color w:val="000000" w:themeColor="text1"/>
          <w:szCs w:val="22"/>
        </w:rPr>
        <w:t>multi-objective optimization</w:t>
      </w:r>
      <w:r w:rsidRPr="00BD4630">
        <w:rPr>
          <w:rFonts w:eastAsiaTheme="minorHAnsi" w:cstheme="minorBidi"/>
          <w:color w:val="000000" w:themeColor="text1"/>
          <w:szCs w:val="22"/>
        </w:rPr>
        <w:t xml:space="preserve"> (</w:t>
      </w:r>
      <w:r w:rsidRPr="00BD4630">
        <w:rPr>
          <w:rFonts w:eastAsiaTheme="minorHAnsi" w:cstheme="minorBidi"/>
          <w:b/>
          <w:bCs/>
          <w:color w:val="000000" w:themeColor="text1"/>
          <w:szCs w:val="22"/>
        </w:rPr>
        <w:t>MOO</w:t>
      </w:r>
      <w:r w:rsidRPr="00BD4630">
        <w:rPr>
          <w:rFonts w:eastAsiaTheme="minorHAnsi" w:cstheme="minorBidi"/>
          <w:color w:val="000000" w:themeColor="text1"/>
          <w:szCs w:val="22"/>
        </w:rPr>
        <w:t xml:space="preserve">) framework for the climate-responsive integration of </w:t>
      </w:r>
      <w:r w:rsidRPr="00BD4630">
        <w:rPr>
          <w:rFonts w:eastAsiaTheme="minorHAnsi" w:cstheme="minorBidi"/>
          <w:b/>
          <w:bCs/>
          <w:color w:val="000000" w:themeColor="text1"/>
          <w:szCs w:val="22"/>
        </w:rPr>
        <w:t>Phase Change Materials</w:t>
      </w:r>
      <w:r w:rsidRPr="00BD4630">
        <w:rPr>
          <w:rFonts w:eastAsiaTheme="minorHAnsi" w:cstheme="minorBidi"/>
          <w:color w:val="000000" w:themeColor="text1"/>
          <w:szCs w:val="22"/>
        </w:rPr>
        <w:t xml:space="preserve"> (</w:t>
      </w:r>
      <w:r w:rsidRPr="00BD4630">
        <w:rPr>
          <w:rFonts w:eastAsiaTheme="minorHAnsi" w:cstheme="minorBidi"/>
          <w:b/>
          <w:bCs/>
          <w:color w:val="000000" w:themeColor="text1"/>
          <w:szCs w:val="22"/>
        </w:rPr>
        <w:t>PCMs</w:t>
      </w:r>
      <w:r w:rsidRPr="00BD4630">
        <w:rPr>
          <w:rFonts w:eastAsiaTheme="minorHAnsi" w:cstheme="minorBidi"/>
          <w:color w:val="000000" w:themeColor="text1"/>
          <w:szCs w:val="22"/>
        </w:rPr>
        <w:t>) in office buildings.</w:t>
      </w:r>
    </w:p>
    <w:p w14:paraId="136CECB8" w14:textId="77777777" w:rsidR="0059439F" w:rsidRPr="00BD4630" w:rsidRDefault="0059439F" w:rsidP="0059439F">
      <w:pPr>
        <w:spacing w:after="160" w:line="480" w:lineRule="auto"/>
        <w:jc w:val="both"/>
        <w:rPr>
          <w:rFonts w:eastAsiaTheme="minorHAnsi" w:cstheme="minorBidi"/>
          <w:color w:val="000000" w:themeColor="text1"/>
          <w:szCs w:val="22"/>
        </w:rPr>
      </w:pPr>
      <w:r w:rsidRPr="00BD4630">
        <w:rPr>
          <w:rFonts w:eastAsiaTheme="minorHAnsi" w:cstheme="minorBidi"/>
          <w:color w:val="000000" w:themeColor="text1"/>
          <w:szCs w:val="22"/>
        </w:rPr>
        <w:t xml:space="preserve">The workflow couples EnergyPlus with the bespoke </w:t>
      </w:r>
      <w:r w:rsidRPr="00BD4630">
        <w:rPr>
          <w:rFonts w:eastAsiaTheme="minorHAnsi" w:cstheme="minorBidi"/>
          <w:b/>
          <w:bCs/>
          <w:color w:val="000000" w:themeColor="text1"/>
          <w:szCs w:val="22"/>
        </w:rPr>
        <w:t>ChameleonPCM</w:t>
      </w:r>
      <w:r w:rsidRPr="00BD4630">
        <w:rPr>
          <w:rFonts w:eastAsiaTheme="minorHAnsi" w:cstheme="minorBidi"/>
          <w:color w:val="000000" w:themeColor="text1"/>
          <w:szCs w:val="22"/>
        </w:rPr>
        <w:t xml:space="preserve"> plugin (seamlessly embedded in Rhino/Grasshopper via Honeybee/Ladybug) and the NSGA-II genetic algorithm. Four decision variables—PCM type, melting temperature, layer thickness, and envelope placement—are optimized to minimize annual </w:t>
      </w:r>
      <w:r w:rsidRPr="00BD4630">
        <w:rPr>
          <w:rFonts w:eastAsiaTheme="minorHAnsi" w:cstheme="minorBidi"/>
          <w:b/>
          <w:bCs/>
          <w:color w:val="000000" w:themeColor="text1"/>
          <w:szCs w:val="22"/>
        </w:rPr>
        <w:t>Energy Use Intensity (EUI)</w:t>
      </w:r>
      <w:r w:rsidRPr="00BD4630">
        <w:rPr>
          <w:rFonts w:eastAsiaTheme="minorHAnsi" w:cstheme="minorBidi"/>
          <w:color w:val="000000" w:themeColor="text1"/>
          <w:szCs w:val="22"/>
        </w:rPr>
        <w:t xml:space="preserve"> while maximizing </w:t>
      </w:r>
      <w:r w:rsidRPr="00BD4630">
        <w:rPr>
          <w:rFonts w:eastAsiaTheme="minorHAnsi" w:cstheme="minorBidi"/>
          <w:b/>
          <w:bCs/>
          <w:color w:val="000000" w:themeColor="text1"/>
          <w:szCs w:val="22"/>
        </w:rPr>
        <w:t>Thermal Comfort Percentage (TCP)</w:t>
      </w:r>
      <w:r w:rsidRPr="00BD4630">
        <w:rPr>
          <w:rFonts w:eastAsiaTheme="minorHAnsi" w:cstheme="minorBidi"/>
          <w:color w:val="000000" w:themeColor="text1"/>
          <w:szCs w:val="22"/>
        </w:rPr>
        <w:t>, defined per ASHRAE Standard 55 adaptive criteria. Five cities serve as climatic proxies: Yazd (</w:t>
      </w:r>
      <w:proofErr w:type="spellStart"/>
      <w:r w:rsidRPr="00BD4630">
        <w:rPr>
          <w:rFonts w:eastAsiaTheme="minorHAnsi" w:cstheme="minorBidi"/>
          <w:color w:val="000000" w:themeColor="text1"/>
          <w:szCs w:val="22"/>
        </w:rPr>
        <w:t>BWh</w:t>
      </w:r>
      <w:proofErr w:type="spellEnd"/>
      <w:r w:rsidRPr="00BD4630">
        <w:rPr>
          <w:rFonts w:eastAsiaTheme="minorHAnsi" w:cstheme="minorBidi"/>
          <w:color w:val="000000" w:themeColor="text1"/>
          <w:szCs w:val="22"/>
        </w:rPr>
        <w:t>, hot-desert), Kerman (</w:t>
      </w:r>
      <w:proofErr w:type="spellStart"/>
      <w:r w:rsidRPr="00BD4630">
        <w:rPr>
          <w:rFonts w:eastAsiaTheme="minorHAnsi" w:cstheme="minorBidi"/>
          <w:color w:val="000000" w:themeColor="text1"/>
          <w:szCs w:val="22"/>
        </w:rPr>
        <w:t>BWk</w:t>
      </w:r>
      <w:proofErr w:type="spellEnd"/>
      <w:r w:rsidRPr="00BD4630">
        <w:rPr>
          <w:rFonts w:eastAsiaTheme="minorHAnsi" w:cstheme="minorBidi"/>
          <w:color w:val="000000" w:themeColor="text1"/>
          <w:szCs w:val="22"/>
        </w:rPr>
        <w:t>, cold-desert), Mashhad (</w:t>
      </w:r>
      <w:proofErr w:type="spellStart"/>
      <w:r w:rsidRPr="00BD4630">
        <w:rPr>
          <w:rFonts w:eastAsiaTheme="minorHAnsi" w:cstheme="minorBidi"/>
          <w:color w:val="000000" w:themeColor="text1"/>
          <w:szCs w:val="22"/>
        </w:rPr>
        <w:t>BSk</w:t>
      </w:r>
      <w:proofErr w:type="spellEnd"/>
      <w:r w:rsidRPr="00BD4630">
        <w:rPr>
          <w:rFonts w:eastAsiaTheme="minorHAnsi" w:cstheme="minorBidi"/>
          <w:color w:val="000000" w:themeColor="text1"/>
          <w:szCs w:val="22"/>
        </w:rPr>
        <w:t>, cold semi-arid), Rasht (Cfa, humid subtropical), and Bushehr (</w:t>
      </w:r>
      <w:proofErr w:type="spellStart"/>
      <w:r w:rsidRPr="00BD4630">
        <w:rPr>
          <w:rFonts w:eastAsiaTheme="minorHAnsi" w:cstheme="minorBidi"/>
          <w:color w:val="000000" w:themeColor="text1"/>
          <w:szCs w:val="22"/>
        </w:rPr>
        <w:t>BSh</w:t>
      </w:r>
      <w:proofErr w:type="spellEnd"/>
      <w:r w:rsidRPr="00BD4630">
        <w:rPr>
          <w:rFonts w:eastAsiaTheme="minorHAnsi" w:cstheme="minorBidi"/>
          <w:color w:val="000000" w:themeColor="text1"/>
          <w:szCs w:val="22"/>
        </w:rPr>
        <w:t>, hot-humid).</w:t>
      </w:r>
    </w:p>
    <w:p w14:paraId="54C213ED" w14:textId="77777777" w:rsidR="0059439F" w:rsidRPr="00BD4630" w:rsidRDefault="0059439F" w:rsidP="0059439F">
      <w:pPr>
        <w:spacing w:after="160" w:line="480" w:lineRule="auto"/>
        <w:jc w:val="both"/>
        <w:rPr>
          <w:rFonts w:eastAsiaTheme="minorHAnsi" w:cstheme="minorBidi"/>
          <w:color w:val="000000" w:themeColor="text1"/>
          <w:szCs w:val="22"/>
        </w:rPr>
      </w:pPr>
      <w:r w:rsidRPr="00BD4630">
        <w:rPr>
          <w:rFonts w:eastAsiaTheme="minorHAnsi" w:cstheme="minorBidi"/>
          <w:color w:val="000000" w:themeColor="text1"/>
          <w:szCs w:val="22"/>
        </w:rPr>
        <w:t xml:space="preserve">Pareto frontiers reveal stark climatic dependence. In arid and semi-arid zones exhibiting diurnal swings exceeding 15 °C, optimized PCMs reduce EUI by </w:t>
      </w:r>
      <w:r w:rsidRPr="00BD4630">
        <w:rPr>
          <w:rFonts w:eastAsiaTheme="minorHAnsi" w:cstheme="minorBidi"/>
          <w:b/>
          <w:bCs/>
          <w:color w:val="000000" w:themeColor="text1"/>
          <w:szCs w:val="22"/>
        </w:rPr>
        <w:t>9–31 %</w:t>
      </w:r>
      <w:r w:rsidRPr="00BD4630">
        <w:rPr>
          <w:rFonts w:eastAsiaTheme="minorHAnsi" w:cstheme="minorBidi"/>
          <w:color w:val="000000" w:themeColor="text1"/>
          <w:szCs w:val="22"/>
        </w:rPr>
        <w:t xml:space="preserve"> and sustain or enhance comfort. Peak-performing solutions feature paraffin-based PCMs with melting points of </w:t>
      </w:r>
      <w:r w:rsidRPr="00BD4630">
        <w:rPr>
          <w:rFonts w:eastAsiaTheme="minorHAnsi" w:cstheme="minorBidi"/>
          <w:b/>
          <w:bCs/>
          <w:color w:val="000000" w:themeColor="text1"/>
          <w:szCs w:val="22"/>
        </w:rPr>
        <w:t>25–27 °C</w:t>
      </w:r>
      <w:r w:rsidRPr="00BD4630">
        <w:rPr>
          <w:rFonts w:eastAsiaTheme="minorHAnsi" w:cstheme="minorBidi"/>
          <w:color w:val="000000" w:themeColor="text1"/>
          <w:szCs w:val="22"/>
        </w:rPr>
        <w:t>, 40–50 mm thicknesses, and mid- or interior-side placements that guarantee complete nightly solidification. In humid coastal cities, where swings fall below 7 °C and latent loads prevail, passive PCMs yield negligible gains (&lt;1.5 % EUI reduction) due to incomplete phase-transition cycles.</w:t>
      </w:r>
    </w:p>
    <w:p w14:paraId="34835712" w14:textId="77777777" w:rsidR="0059439F" w:rsidRPr="00BD4630" w:rsidRDefault="0059439F" w:rsidP="0059439F">
      <w:pPr>
        <w:spacing w:after="160" w:line="480" w:lineRule="auto"/>
        <w:jc w:val="both"/>
        <w:rPr>
          <w:rFonts w:eastAsiaTheme="minorHAnsi" w:cstheme="minorBidi"/>
          <w:color w:val="000000" w:themeColor="text1"/>
          <w:szCs w:val="22"/>
        </w:rPr>
      </w:pPr>
      <w:r w:rsidRPr="00BD4630">
        <w:rPr>
          <w:rFonts w:eastAsiaTheme="minorHAnsi" w:cstheme="minorBidi"/>
          <w:color w:val="000000" w:themeColor="text1"/>
          <w:szCs w:val="22"/>
        </w:rPr>
        <w:lastRenderedPageBreak/>
        <w:t>Future-climate resilience is assessed under RCP 8.5 (2080 horizon). Arid-region benefits persist despite a 4–5 °C ambient rise, whereas humid-zone performance degrades further, underscoring the need for hybrid strategies—e.g., PCMs paired with nocturnal ventilation or desiccant-assisted cooling.</w:t>
      </w:r>
    </w:p>
    <w:p w14:paraId="2DB01D90" w14:textId="77777777" w:rsidR="0059439F" w:rsidRPr="00BD4630" w:rsidRDefault="0059439F" w:rsidP="0059439F">
      <w:pPr>
        <w:spacing w:after="160" w:line="480" w:lineRule="auto"/>
        <w:jc w:val="both"/>
        <w:rPr>
          <w:rFonts w:eastAsiaTheme="minorHAnsi" w:cstheme="minorBidi"/>
          <w:color w:val="000000" w:themeColor="text1"/>
          <w:szCs w:val="22"/>
        </w:rPr>
      </w:pPr>
      <w:r w:rsidRPr="00BD4630">
        <w:rPr>
          <w:rFonts w:eastAsiaTheme="minorHAnsi" w:cstheme="minorBidi"/>
          <w:color w:val="000000" w:themeColor="text1"/>
          <w:szCs w:val="22"/>
        </w:rPr>
        <w:t xml:space="preserve">The open-source </w:t>
      </w:r>
      <w:r w:rsidRPr="00BD4630">
        <w:rPr>
          <w:rFonts w:eastAsiaTheme="minorHAnsi" w:cstheme="minorBidi"/>
          <w:b/>
          <w:bCs/>
          <w:color w:val="000000" w:themeColor="text1"/>
          <w:szCs w:val="22"/>
        </w:rPr>
        <w:t>ChameleonPCM</w:t>
      </w:r>
      <w:r w:rsidRPr="00BD4630">
        <w:rPr>
          <w:rFonts w:eastAsiaTheme="minorHAnsi" w:cstheme="minorBidi"/>
          <w:color w:val="000000" w:themeColor="text1"/>
          <w:szCs w:val="22"/>
        </w:rPr>
        <w:t xml:space="preserve"> tool and accompanying MOO template empower designers to generate locale-specific guidelines within hours. By quantifying trade-offs and delimiting applicability boundaries, this work bridges the gap between material science and climate-adaptive architecture, furnishing actionable pathways toward net-zero-ready buildings across Iran’s diverse thermal regimes.</w:t>
      </w:r>
    </w:p>
    <w:p w14:paraId="586AF6DA" w14:textId="77777777" w:rsidR="0059439F" w:rsidRPr="00BD4630" w:rsidRDefault="0059439F" w:rsidP="0059439F">
      <w:pPr>
        <w:rPr>
          <w:color w:val="000000" w:themeColor="text1"/>
        </w:rPr>
      </w:pPr>
    </w:p>
    <w:p w14:paraId="1A8CE55C" w14:textId="77777777" w:rsidR="0059439F" w:rsidRPr="00BD4630" w:rsidRDefault="0059439F" w:rsidP="0059439F">
      <w:pPr>
        <w:rPr>
          <w:color w:val="000000" w:themeColor="text1"/>
        </w:rPr>
      </w:pPr>
    </w:p>
    <w:p w14:paraId="2A47BDEF" w14:textId="77777777" w:rsidR="0059439F" w:rsidRPr="00BD4630" w:rsidRDefault="0059439F" w:rsidP="0059439F">
      <w:pPr>
        <w:spacing w:line="360" w:lineRule="auto"/>
        <w:rPr>
          <w:rFonts w:asciiTheme="majorBidi" w:hAnsiTheme="majorBidi" w:cstheme="majorBidi"/>
          <w:color w:val="000000" w:themeColor="text1"/>
        </w:rPr>
      </w:pPr>
      <w:r w:rsidRPr="00BD4630">
        <w:rPr>
          <w:rFonts w:asciiTheme="majorBidi" w:hAnsiTheme="majorBidi" w:cstheme="majorBidi"/>
          <w:b/>
          <w:bCs/>
          <w:color w:val="000000" w:themeColor="text1"/>
        </w:rPr>
        <w:t>Keywords</w:t>
      </w:r>
      <w:r w:rsidRPr="00BD4630">
        <w:rPr>
          <w:rFonts w:asciiTheme="majorBidi" w:hAnsiTheme="majorBidi" w:cstheme="majorBidi"/>
          <w:color w:val="000000" w:themeColor="text1"/>
        </w:rPr>
        <w:t xml:space="preserve">: </w:t>
      </w:r>
      <w:r w:rsidRPr="00BD4630">
        <w:rPr>
          <w:rFonts w:eastAsiaTheme="minorHAnsi" w:cstheme="minorBidi"/>
          <w:color w:val="000000" w:themeColor="text1"/>
          <w:szCs w:val="22"/>
        </w:rPr>
        <w:t>Phase Change Materials (PCMs), Climate-Responsive Building Design, Energy Efficiency, Thermal Comfort, Simulation-Based Optimization.</w:t>
      </w:r>
    </w:p>
    <w:p w14:paraId="09A24B86" w14:textId="77777777" w:rsidR="0054484E" w:rsidRDefault="0054484E"/>
    <w:sectPr w:rsidR="005448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9F"/>
    <w:rsid w:val="000470DA"/>
    <w:rsid w:val="00065A75"/>
    <w:rsid w:val="000970BD"/>
    <w:rsid w:val="000B396A"/>
    <w:rsid w:val="000B6359"/>
    <w:rsid w:val="000C33F5"/>
    <w:rsid w:val="000C54BA"/>
    <w:rsid w:val="000D395F"/>
    <w:rsid w:val="00111228"/>
    <w:rsid w:val="00112E92"/>
    <w:rsid w:val="00126629"/>
    <w:rsid w:val="00127655"/>
    <w:rsid w:val="00127E8C"/>
    <w:rsid w:val="0013575C"/>
    <w:rsid w:val="001522B1"/>
    <w:rsid w:val="00181DFA"/>
    <w:rsid w:val="001857BB"/>
    <w:rsid w:val="00187ECF"/>
    <w:rsid w:val="001A00DC"/>
    <w:rsid w:val="001A57AD"/>
    <w:rsid w:val="001B18C7"/>
    <w:rsid w:val="001B1B99"/>
    <w:rsid w:val="001B40A1"/>
    <w:rsid w:val="001C03F1"/>
    <w:rsid w:val="001C1D63"/>
    <w:rsid w:val="001D7507"/>
    <w:rsid w:val="001D75FA"/>
    <w:rsid w:val="001F6422"/>
    <w:rsid w:val="001F74ED"/>
    <w:rsid w:val="00201390"/>
    <w:rsid w:val="00201D7A"/>
    <w:rsid w:val="00214F7E"/>
    <w:rsid w:val="0021672B"/>
    <w:rsid w:val="00216EFD"/>
    <w:rsid w:val="0021748E"/>
    <w:rsid w:val="00223A1F"/>
    <w:rsid w:val="00233346"/>
    <w:rsid w:val="0027781C"/>
    <w:rsid w:val="002922BF"/>
    <w:rsid w:val="00297B1D"/>
    <w:rsid w:val="002A3CD1"/>
    <w:rsid w:val="002B0709"/>
    <w:rsid w:val="002E7DD9"/>
    <w:rsid w:val="0030099D"/>
    <w:rsid w:val="003038FA"/>
    <w:rsid w:val="003211E5"/>
    <w:rsid w:val="0034533C"/>
    <w:rsid w:val="00345E83"/>
    <w:rsid w:val="0035213D"/>
    <w:rsid w:val="0038344E"/>
    <w:rsid w:val="003864A5"/>
    <w:rsid w:val="00387CC9"/>
    <w:rsid w:val="00392789"/>
    <w:rsid w:val="003A5D13"/>
    <w:rsid w:val="003C4205"/>
    <w:rsid w:val="003D1DCC"/>
    <w:rsid w:val="003D5250"/>
    <w:rsid w:val="003E32FC"/>
    <w:rsid w:val="003E7BC4"/>
    <w:rsid w:val="003E7CF5"/>
    <w:rsid w:val="00416891"/>
    <w:rsid w:val="00427CE0"/>
    <w:rsid w:val="00433CAD"/>
    <w:rsid w:val="004379A1"/>
    <w:rsid w:val="00455CFA"/>
    <w:rsid w:val="00487F3C"/>
    <w:rsid w:val="0049025D"/>
    <w:rsid w:val="00493FFD"/>
    <w:rsid w:val="004A571C"/>
    <w:rsid w:val="004C03E4"/>
    <w:rsid w:val="004F7203"/>
    <w:rsid w:val="00502AF7"/>
    <w:rsid w:val="00510540"/>
    <w:rsid w:val="00515A94"/>
    <w:rsid w:val="00535BF3"/>
    <w:rsid w:val="00536698"/>
    <w:rsid w:val="0054484E"/>
    <w:rsid w:val="005614FB"/>
    <w:rsid w:val="005640E3"/>
    <w:rsid w:val="0056781A"/>
    <w:rsid w:val="00582D3F"/>
    <w:rsid w:val="00583EE1"/>
    <w:rsid w:val="0059439F"/>
    <w:rsid w:val="005D0595"/>
    <w:rsid w:val="005D5AC5"/>
    <w:rsid w:val="005E5560"/>
    <w:rsid w:val="005F303C"/>
    <w:rsid w:val="00600049"/>
    <w:rsid w:val="00602667"/>
    <w:rsid w:val="0061017D"/>
    <w:rsid w:val="00642B2F"/>
    <w:rsid w:val="00646DB0"/>
    <w:rsid w:val="00650CFC"/>
    <w:rsid w:val="006574CD"/>
    <w:rsid w:val="00662051"/>
    <w:rsid w:val="00676242"/>
    <w:rsid w:val="00677CAE"/>
    <w:rsid w:val="00684A08"/>
    <w:rsid w:val="006A2F46"/>
    <w:rsid w:val="006D7020"/>
    <w:rsid w:val="006D76E6"/>
    <w:rsid w:val="006F41CE"/>
    <w:rsid w:val="006F5383"/>
    <w:rsid w:val="0070611C"/>
    <w:rsid w:val="00710E16"/>
    <w:rsid w:val="00721024"/>
    <w:rsid w:val="00740DDA"/>
    <w:rsid w:val="00744F4E"/>
    <w:rsid w:val="00751500"/>
    <w:rsid w:val="00751CCC"/>
    <w:rsid w:val="00762C37"/>
    <w:rsid w:val="00787055"/>
    <w:rsid w:val="00790E24"/>
    <w:rsid w:val="007A2460"/>
    <w:rsid w:val="007A4079"/>
    <w:rsid w:val="007B4961"/>
    <w:rsid w:val="007B5858"/>
    <w:rsid w:val="007C7D4C"/>
    <w:rsid w:val="007F0492"/>
    <w:rsid w:val="007F0C37"/>
    <w:rsid w:val="007F40FD"/>
    <w:rsid w:val="0080191E"/>
    <w:rsid w:val="0084371A"/>
    <w:rsid w:val="008652E5"/>
    <w:rsid w:val="008726A5"/>
    <w:rsid w:val="0087688C"/>
    <w:rsid w:val="008910C5"/>
    <w:rsid w:val="00892FC6"/>
    <w:rsid w:val="00895F28"/>
    <w:rsid w:val="00897E53"/>
    <w:rsid w:val="008C0716"/>
    <w:rsid w:val="008C0940"/>
    <w:rsid w:val="008C2EEF"/>
    <w:rsid w:val="008D6F0E"/>
    <w:rsid w:val="008E04B8"/>
    <w:rsid w:val="00903783"/>
    <w:rsid w:val="00913663"/>
    <w:rsid w:val="00916794"/>
    <w:rsid w:val="00923294"/>
    <w:rsid w:val="00925E0D"/>
    <w:rsid w:val="00931087"/>
    <w:rsid w:val="00933F45"/>
    <w:rsid w:val="00943337"/>
    <w:rsid w:val="00946ACA"/>
    <w:rsid w:val="00953166"/>
    <w:rsid w:val="00965679"/>
    <w:rsid w:val="00973B76"/>
    <w:rsid w:val="00986F00"/>
    <w:rsid w:val="00993517"/>
    <w:rsid w:val="009956BC"/>
    <w:rsid w:val="009B3E13"/>
    <w:rsid w:val="009B7450"/>
    <w:rsid w:val="009C2B0D"/>
    <w:rsid w:val="009C44AC"/>
    <w:rsid w:val="009C532E"/>
    <w:rsid w:val="009C6A8D"/>
    <w:rsid w:val="009E0999"/>
    <w:rsid w:val="009E20BD"/>
    <w:rsid w:val="009E262A"/>
    <w:rsid w:val="009F680E"/>
    <w:rsid w:val="00A045D2"/>
    <w:rsid w:val="00A0590B"/>
    <w:rsid w:val="00A139F5"/>
    <w:rsid w:val="00A15508"/>
    <w:rsid w:val="00A22461"/>
    <w:rsid w:val="00A23D4E"/>
    <w:rsid w:val="00A43D75"/>
    <w:rsid w:val="00A46BBE"/>
    <w:rsid w:val="00A500AF"/>
    <w:rsid w:val="00A63F83"/>
    <w:rsid w:val="00A7241F"/>
    <w:rsid w:val="00A73075"/>
    <w:rsid w:val="00AA259A"/>
    <w:rsid w:val="00AA491C"/>
    <w:rsid w:val="00AA4BB1"/>
    <w:rsid w:val="00AB0209"/>
    <w:rsid w:val="00AC29A0"/>
    <w:rsid w:val="00B13489"/>
    <w:rsid w:val="00B47C55"/>
    <w:rsid w:val="00B540FD"/>
    <w:rsid w:val="00B63072"/>
    <w:rsid w:val="00B63611"/>
    <w:rsid w:val="00B77C18"/>
    <w:rsid w:val="00BB4174"/>
    <w:rsid w:val="00BC12B7"/>
    <w:rsid w:val="00BD5602"/>
    <w:rsid w:val="00C0209A"/>
    <w:rsid w:val="00C064AF"/>
    <w:rsid w:val="00C55423"/>
    <w:rsid w:val="00CA2D45"/>
    <w:rsid w:val="00CA420F"/>
    <w:rsid w:val="00CA7E03"/>
    <w:rsid w:val="00CB0981"/>
    <w:rsid w:val="00CB29D8"/>
    <w:rsid w:val="00CC5FC9"/>
    <w:rsid w:val="00CE7F41"/>
    <w:rsid w:val="00CF5E2E"/>
    <w:rsid w:val="00D0234C"/>
    <w:rsid w:val="00D06DC8"/>
    <w:rsid w:val="00D15E9F"/>
    <w:rsid w:val="00D337D4"/>
    <w:rsid w:val="00D35E6D"/>
    <w:rsid w:val="00D400B8"/>
    <w:rsid w:val="00D54B08"/>
    <w:rsid w:val="00D718C0"/>
    <w:rsid w:val="00D72BF0"/>
    <w:rsid w:val="00D772FC"/>
    <w:rsid w:val="00D93DEB"/>
    <w:rsid w:val="00D9469A"/>
    <w:rsid w:val="00D97FDC"/>
    <w:rsid w:val="00DE27FE"/>
    <w:rsid w:val="00DF230F"/>
    <w:rsid w:val="00E024CF"/>
    <w:rsid w:val="00E16EDA"/>
    <w:rsid w:val="00E3088C"/>
    <w:rsid w:val="00E363D2"/>
    <w:rsid w:val="00E364EC"/>
    <w:rsid w:val="00E36E66"/>
    <w:rsid w:val="00E40B32"/>
    <w:rsid w:val="00E457A0"/>
    <w:rsid w:val="00E608D3"/>
    <w:rsid w:val="00E850EC"/>
    <w:rsid w:val="00E909C4"/>
    <w:rsid w:val="00EB28B1"/>
    <w:rsid w:val="00EC1A1C"/>
    <w:rsid w:val="00ED1234"/>
    <w:rsid w:val="00ED4706"/>
    <w:rsid w:val="00ED767D"/>
    <w:rsid w:val="00EE1A22"/>
    <w:rsid w:val="00F065C4"/>
    <w:rsid w:val="00F15009"/>
    <w:rsid w:val="00F21122"/>
    <w:rsid w:val="00F21EBF"/>
    <w:rsid w:val="00F3599A"/>
    <w:rsid w:val="00F74421"/>
    <w:rsid w:val="00F87835"/>
    <w:rsid w:val="00F94E14"/>
    <w:rsid w:val="00FB4B99"/>
    <w:rsid w:val="00FB4F8D"/>
    <w:rsid w:val="00FD1FE4"/>
    <w:rsid w:val="00FD22FE"/>
    <w:rsid w:val="00FD368A"/>
    <w:rsid w:val="00FD4444"/>
    <w:rsid w:val="00FD6BFD"/>
    <w:rsid w:val="00FE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C86BFD2"/>
  <w15:chartTrackingRefBased/>
  <w15:docId w15:val="{02036436-5D0C-AD4A-8F59-0E2170B27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39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439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39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439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439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439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439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439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439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439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43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3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43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43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43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43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43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43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43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43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943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39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943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439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943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439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943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3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3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43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Sangin  Hamed</dc:creator>
  <cp:keywords/>
  <dc:description/>
  <cp:lastModifiedBy>Sangin  Hamed</cp:lastModifiedBy>
  <cp:revision>2</cp:revision>
  <dcterms:created xsi:type="dcterms:W3CDTF">2026-03-12T11:23:00Z</dcterms:created>
  <dcterms:modified xsi:type="dcterms:W3CDTF">2026-03-12T11:23:00Z</dcterms:modified>
</cp:coreProperties>
</file>